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1C" w:rsidRDefault="0012451C">
      <w:pPr>
        <w:pStyle w:val="Style1"/>
        <w:kinsoku w:val="0"/>
        <w:autoSpaceDE/>
        <w:autoSpaceDN/>
        <w:adjustRightInd/>
        <w:spacing w:before="576" w:line="196" w:lineRule="auto"/>
        <w:ind w:left="1872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RESOLUCION No. TAT-2229-2014</w:t>
      </w:r>
    </w:p>
    <w:p w:rsidR="0012451C" w:rsidRDefault="0012451C" w:rsidP="00176A9D">
      <w:pPr>
        <w:pStyle w:val="Style2"/>
        <w:kinsoku w:val="0"/>
        <w:autoSpaceDE/>
        <w:autoSpaceDN/>
        <w:spacing w:before="576"/>
        <w:ind w:right="14"/>
        <w:rPr>
          <w:rStyle w:val="CharacterStyle1"/>
          <w:rFonts w:ascii="Verdana" w:hAnsi="Verdana" w:cs="Verdana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TRIBUNAL ADMINISTRATIVO DE TRANSPORTE.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San José, a las </w:t>
      </w: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diez horas cincuenta y cinco minutos del veintiocho de enero de dos </w:t>
      </w:r>
      <w:r>
        <w:rPr>
          <w:rStyle w:val="CharacterStyle1"/>
          <w:rFonts w:ascii="Verdana" w:hAnsi="Verdana" w:cs="Verdana"/>
          <w:w w:val="105"/>
          <w:lang w:val="es-ES" w:eastAsia="es-ES"/>
        </w:rPr>
        <w:t>mil catorce.-</w:t>
      </w:r>
    </w:p>
    <w:p w:rsidR="0012451C" w:rsidRDefault="0012451C" w:rsidP="00176A9D">
      <w:pPr>
        <w:pStyle w:val="Style2"/>
        <w:kinsoku w:val="0"/>
        <w:autoSpaceDE/>
        <w:autoSpaceDN/>
        <w:ind w:right="14"/>
        <w:rPr>
          <w:rStyle w:val="CharacterStyle1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1"/>
          <w:rFonts w:ascii="Arial" w:hAnsi="Arial" w:cs="Arial"/>
          <w:sz w:val="20"/>
          <w:szCs w:val="20"/>
          <w:lang w:val="es-ES" w:eastAsia="es-ES"/>
        </w:rPr>
        <w:t xml:space="preserve">Visto el </w:t>
      </w:r>
      <w:r>
        <w:rPr>
          <w:rStyle w:val="CharacterStyle1"/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acuerdo 7.3 de la Sesión Ordinaria 76</w:t>
      </w:r>
      <w:r w:rsidR="009C5A83">
        <w:rPr>
          <w:rStyle w:val="CharacterStyle1"/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 xml:space="preserve">2013 de 22 de octubre </w:t>
      </w:r>
      <w:r>
        <w:rPr>
          <w:rStyle w:val="CharacterStyle1"/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 xml:space="preserve">de 2013, </w:t>
      </w:r>
      <w:r>
        <w:rPr>
          <w:rStyle w:val="CharacterStyle1"/>
          <w:rFonts w:ascii="Verdana" w:hAnsi="Verdana" w:cs="Verdana"/>
          <w:spacing w:val="17"/>
          <w:sz w:val="20"/>
          <w:szCs w:val="20"/>
          <w:lang w:val="es-ES" w:eastAsia="es-ES"/>
        </w:rPr>
        <w:t xml:space="preserve">mediante el cual se corrige </w:t>
      </w:r>
      <w:r>
        <w:rPr>
          <w:rStyle w:val="CharacterStyle1"/>
          <w:rFonts w:ascii="Verdana" w:hAnsi="Verdana" w:cs="Verdana"/>
          <w:b/>
          <w:bCs/>
          <w:spacing w:val="17"/>
          <w:sz w:val="20"/>
          <w:szCs w:val="20"/>
          <w:lang w:val="es-ES" w:eastAsia="es-ES"/>
        </w:rPr>
        <w:t xml:space="preserve">ERROR MATERIAL, </w:t>
      </w:r>
      <w:r>
        <w:rPr>
          <w:rStyle w:val="CharacterStyle1"/>
          <w:rFonts w:ascii="Verdana" w:hAnsi="Verdana" w:cs="Verdana"/>
          <w:spacing w:val="17"/>
          <w:sz w:val="20"/>
          <w:szCs w:val="20"/>
          <w:lang w:val="es-ES" w:eastAsia="es-ES"/>
        </w:rPr>
        <w:t xml:space="preserve">que se </w:t>
      </w:r>
      <w:r>
        <w:rPr>
          <w:rStyle w:val="CharacterStyle1"/>
          <w:rFonts w:ascii="Verdana" w:hAnsi="Verdana" w:cs="Verdana"/>
          <w:spacing w:val="-1"/>
          <w:sz w:val="20"/>
          <w:szCs w:val="20"/>
          <w:lang w:val="es-ES" w:eastAsia="es-ES"/>
        </w:rPr>
        <w:t xml:space="preserve">presentó en el artículo </w:t>
      </w:r>
      <w:r>
        <w:rPr>
          <w:rStyle w:val="CharacterStyle1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3.7.1 de la Sesión Ordinara 58-2008 del 14 </w:t>
      </w:r>
      <w:r>
        <w:rPr>
          <w:rStyle w:val="CharacterStyle1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de agosto de 2008, </w:t>
      </w:r>
      <w:r>
        <w:rPr>
          <w:rStyle w:val="CharacterStyle1"/>
          <w:rFonts w:ascii="Verdana" w:hAnsi="Verdana" w:cs="Verdana"/>
          <w:spacing w:val="12"/>
          <w:sz w:val="20"/>
          <w:szCs w:val="20"/>
          <w:lang w:val="es-ES" w:eastAsia="es-ES"/>
        </w:rPr>
        <w:t xml:space="preserve">ambos de la Junta Directiva del Consejo de </w:t>
      </w:r>
      <w:r>
        <w:rPr>
          <w:rStyle w:val="CharacterStyle1"/>
          <w:rFonts w:ascii="Verdana" w:hAnsi="Verdana" w:cs="Verdana"/>
          <w:spacing w:val="-1"/>
          <w:sz w:val="20"/>
          <w:szCs w:val="20"/>
          <w:lang w:val="es-ES" w:eastAsia="es-ES"/>
        </w:rPr>
        <w:t xml:space="preserve">Transporte Público, y el cual fue comunicado a este Tribunal por parte de la </w:t>
      </w:r>
      <w:r>
        <w:rPr>
          <w:rStyle w:val="CharacterStyle1"/>
          <w:rFonts w:ascii="Verdana" w:hAnsi="Verdana" w:cs="Verdana"/>
          <w:spacing w:val="10"/>
          <w:sz w:val="20"/>
          <w:szCs w:val="20"/>
          <w:lang w:val="es-ES" w:eastAsia="es-ES"/>
        </w:rPr>
        <w:t xml:space="preserve">Dirección Ejecutiva del CTP, el 14 de noviembre de los corrientes, se </w:t>
      </w:r>
      <w:r>
        <w:rPr>
          <w:rStyle w:val="CharacterStyle1"/>
          <w:rFonts w:ascii="Verdana" w:hAnsi="Verdana" w:cs="Verdana"/>
          <w:spacing w:val="2"/>
          <w:sz w:val="20"/>
          <w:szCs w:val="20"/>
          <w:lang w:val="es-ES" w:eastAsia="es-ES"/>
        </w:rPr>
        <w:t xml:space="preserve">resuelve: El </w:t>
      </w:r>
      <w:r>
        <w:rPr>
          <w:rStyle w:val="CharacterStyle1"/>
          <w:rFonts w:ascii="Verdana" w:hAnsi="Verdana" w:cs="Verdana"/>
          <w:spacing w:val="2"/>
          <w:w w:val="105"/>
          <w:lang w:val="es-ES" w:eastAsia="es-ES"/>
        </w:rPr>
        <w:t xml:space="preserve">caso es tramitado en este despacho bajo </w:t>
      </w:r>
      <w:r>
        <w:rPr>
          <w:rStyle w:val="CharacterStyle1"/>
          <w:rFonts w:ascii="Verdana" w:hAnsi="Verdana" w:cs="Verdana"/>
          <w:b/>
          <w:bCs/>
          <w:spacing w:val="2"/>
          <w:w w:val="105"/>
          <w:lang w:val="es-ES" w:eastAsia="es-ES"/>
        </w:rPr>
        <w:t xml:space="preserve">Expediente </w:t>
      </w:r>
      <w:r>
        <w:rPr>
          <w:rStyle w:val="CharacterStyle1"/>
          <w:rFonts w:ascii="Verdana" w:hAnsi="Verdana" w:cs="Verdana"/>
          <w:b/>
          <w:bCs/>
          <w:spacing w:val="-2"/>
          <w:w w:val="105"/>
          <w:lang w:val="es-ES" w:eastAsia="es-ES"/>
        </w:rPr>
        <w:t>Administrativo No. TAT-87-13.</w:t>
      </w:r>
    </w:p>
    <w:p w:rsidR="0012451C" w:rsidRDefault="0012451C" w:rsidP="00176A9D">
      <w:pPr>
        <w:pStyle w:val="Style1"/>
        <w:kinsoku w:val="0"/>
        <w:autoSpaceDE/>
        <w:autoSpaceDN/>
        <w:adjustRightInd/>
        <w:spacing w:before="396" w:line="206" w:lineRule="auto"/>
        <w:ind w:left="2448" w:right="14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 UNICO</w:t>
      </w:r>
    </w:p>
    <w:p w:rsidR="0012451C" w:rsidRDefault="0012451C" w:rsidP="00176A9D">
      <w:pPr>
        <w:pStyle w:val="Style2"/>
        <w:kinsoku w:val="0"/>
        <w:autoSpaceDE/>
        <w:autoSpaceDN/>
        <w:ind w:right="14"/>
        <w:rPr>
          <w:rStyle w:val="CharacterStyle1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Analizadas las piezas del expediente administrativo TAT-087-13, se ha podido constatar que el acuerdo 7.3 de la Sesión Ordinaria 76-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2013, del martes 22 de octubre de 2013, que eleva la Junta Directiva 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del Consejo de Transporte Público a este Tribunal, lo que hace es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corregir el artículo 3.7.1 de la Sesión Ordinara 58-2008 del 14 de </w:t>
      </w:r>
      <w:r>
        <w:rPr>
          <w:rStyle w:val="CharacterStyle1"/>
          <w:rFonts w:ascii="Verdana" w:hAnsi="Verdana" w:cs="Verdana"/>
          <w:spacing w:val="-7"/>
          <w:w w:val="105"/>
          <w:lang w:val="es-ES" w:eastAsia="es-ES"/>
        </w:rPr>
        <w:t xml:space="preserve">agosto de 2008, en cuanto a lo que ellos denominan error material, al </w:t>
      </w:r>
      <w:r>
        <w:rPr>
          <w:rStyle w:val="CharacterStyle1"/>
          <w:rFonts w:ascii="Verdana" w:hAnsi="Verdana" w:cs="Verdana"/>
          <w:spacing w:val="10"/>
          <w:w w:val="105"/>
          <w:lang w:val="es-ES" w:eastAsia="es-ES"/>
        </w:rPr>
        <w:t xml:space="preserve">haberse consignado en dicho acto que se resolvía recurso de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>apelación, siendo que lo que se resolvió fue el recurso de revocatoria.</w:t>
      </w:r>
    </w:p>
    <w:p w:rsidR="0012451C" w:rsidRDefault="0012451C" w:rsidP="00176A9D">
      <w:pPr>
        <w:pStyle w:val="Style2"/>
        <w:kinsoku w:val="0"/>
        <w:autoSpaceDE/>
        <w:autoSpaceDN/>
        <w:spacing w:before="360"/>
        <w:ind w:right="14"/>
        <w:rPr>
          <w:rStyle w:val="CharacterStyle1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En el Por Tanto segundo del acuerdo 7.3 de la Sesión Ordinaria 76-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2013, se indica que se notifique dicha corrección al Tribunal, pero en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ningún momento se está elevando Recurso de Apelación alguno. (</w:t>
      </w:r>
      <w:proofErr w:type="gramStart"/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ver</w:t>
      </w:r>
      <w:proofErr w:type="gramEnd"/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>folio 1 del expediente administrativo).</w:t>
      </w:r>
    </w:p>
    <w:p w:rsidR="00176A9D" w:rsidRDefault="0012451C" w:rsidP="00176A9D">
      <w:pPr>
        <w:pStyle w:val="Style1"/>
        <w:kinsoku w:val="0"/>
        <w:autoSpaceDE/>
        <w:autoSpaceDN/>
        <w:adjustRightInd/>
        <w:spacing w:before="288"/>
        <w:ind w:right="14"/>
        <w:jc w:val="both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Al revisar el acuerdo 3.7.1 de la Sesión Ordinara 58-2008, se puede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extraer del mismo que la Junta Directiva anula el acto adoptado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mediante artículo 6.9 de la Sesión Ordinaria 44-2006 de 8 de agosto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2006 y rechaza de plano la nulidad presentada contra el acuerdo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6.3 de la Sesión Ordinaria 85-2005. (Ver Folios del 11 al 13 del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expediente administrativo.</w:t>
      </w:r>
    </w:p>
    <w:p w:rsidR="00176A9D" w:rsidRDefault="00176A9D" w:rsidP="00176A9D">
      <w:pPr>
        <w:pStyle w:val="Style1"/>
        <w:kinsoku w:val="0"/>
        <w:autoSpaceDE/>
        <w:autoSpaceDN/>
        <w:adjustRightInd/>
        <w:spacing w:before="288"/>
        <w:ind w:right="14"/>
        <w:jc w:val="both"/>
        <w:rPr>
          <w:spacing w:val="-2"/>
          <w:sz w:val="18"/>
          <w:szCs w:val="18"/>
          <w:lang w:val="es-ES" w:eastAsia="es-ES"/>
        </w:rPr>
      </w:pPr>
    </w:p>
    <w:p w:rsidR="00176A9D" w:rsidRDefault="00176A9D" w:rsidP="00176A9D">
      <w:pPr>
        <w:pStyle w:val="Style1"/>
        <w:kinsoku w:val="0"/>
        <w:autoSpaceDE/>
        <w:autoSpaceDN/>
        <w:adjustRightInd/>
        <w:spacing w:before="288"/>
        <w:ind w:right="14"/>
        <w:jc w:val="both"/>
        <w:rPr>
          <w:spacing w:val="-2"/>
          <w:sz w:val="18"/>
          <w:szCs w:val="18"/>
          <w:lang w:val="es-ES" w:eastAsia="es-ES"/>
        </w:rPr>
      </w:pPr>
    </w:p>
    <w:p w:rsidR="00176A9D" w:rsidRDefault="00176A9D" w:rsidP="00176A9D">
      <w:pPr>
        <w:pStyle w:val="Style1"/>
        <w:kinsoku w:val="0"/>
        <w:autoSpaceDE/>
        <w:autoSpaceDN/>
        <w:adjustRightInd/>
        <w:spacing w:before="288"/>
        <w:ind w:right="14"/>
        <w:jc w:val="both"/>
        <w:rPr>
          <w:sz w:val="18"/>
          <w:szCs w:val="18"/>
          <w:lang w:val="es-ES" w:eastAsia="es-ES"/>
        </w:rPr>
      </w:pPr>
    </w:p>
    <w:p w:rsidR="00176A9D" w:rsidRDefault="00176A9D" w:rsidP="00176A9D">
      <w:pPr>
        <w:pStyle w:val="Style1"/>
        <w:kinsoku w:val="0"/>
        <w:autoSpaceDE/>
        <w:autoSpaceDN/>
        <w:adjustRightInd/>
        <w:spacing w:before="288"/>
        <w:ind w:right="14"/>
        <w:jc w:val="both"/>
        <w:rPr>
          <w:sz w:val="18"/>
          <w:szCs w:val="18"/>
          <w:lang w:val="es-ES" w:eastAsia="es-ES"/>
        </w:rPr>
      </w:pPr>
    </w:p>
    <w:p w:rsidR="0031201B" w:rsidRDefault="0031201B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</w:p>
    <w:p w:rsidR="0031201B" w:rsidRDefault="0031201B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</w:p>
    <w:p w:rsidR="0031201B" w:rsidRDefault="0031201B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</w:p>
    <w:p w:rsidR="0031201B" w:rsidRDefault="0031201B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</w:p>
    <w:p w:rsidR="0031201B" w:rsidRDefault="0031201B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</w:p>
    <w:p w:rsidR="0031201B" w:rsidRDefault="0031201B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</w:p>
    <w:p w:rsidR="0031201B" w:rsidRDefault="0031201B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</w:p>
    <w:p w:rsidR="0031201B" w:rsidRDefault="0031201B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</w:p>
    <w:p w:rsidR="0012451C" w:rsidRDefault="0012451C" w:rsidP="00176A9D">
      <w:pPr>
        <w:pStyle w:val="Style3"/>
        <w:tabs>
          <w:tab w:val="left" w:pos="8080"/>
        </w:tabs>
        <w:kinsoku w:val="0"/>
        <w:autoSpaceDE/>
        <w:autoSpaceDN/>
        <w:adjustRightInd/>
        <w:ind w:left="360" w:right="14"/>
        <w:jc w:val="both"/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  <w:t xml:space="preserve">El acuerdo </w:t>
      </w:r>
      <w:r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6.3 de la Sesión Ordinaria 85-2005 de 8 de diciembre de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2005, en su por tanto en lo que interesa determina:</w:t>
      </w:r>
    </w:p>
    <w:p w:rsidR="0012451C" w:rsidRDefault="0012451C">
      <w:pPr>
        <w:pStyle w:val="Style3"/>
        <w:kinsoku w:val="0"/>
        <w:autoSpaceDE/>
        <w:autoSpaceDN/>
        <w:adjustRightInd/>
        <w:spacing w:before="252" w:line="199" w:lineRule="auto"/>
        <w:ind w:left="360"/>
        <w:rPr>
          <w:rStyle w:val="CharacterStyle4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15"/>
          <w:szCs w:val="15"/>
          <w:lang w:val="es-ES" w:eastAsia="es-ES"/>
        </w:rPr>
        <w:t>"POR TANTO SE ACUERDA</w:t>
      </w:r>
    </w:p>
    <w:p w:rsidR="00176A9D" w:rsidRDefault="00176A9D">
      <w:pPr>
        <w:pStyle w:val="Style3"/>
        <w:kinsoku w:val="0"/>
        <w:autoSpaceDE/>
        <w:autoSpaceDN/>
        <w:adjustRightInd/>
        <w:spacing w:before="252" w:line="199" w:lineRule="auto"/>
        <w:ind w:left="360"/>
        <w:rPr>
          <w:rStyle w:val="CharacterStyle4"/>
          <w:rFonts w:ascii="Verdana" w:hAnsi="Verdana" w:cs="Verdana"/>
          <w:b/>
          <w:bCs/>
          <w:sz w:val="15"/>
          <w:szCs w:val="15"/>
          <w:lang w:val="es-ES" w:eastAsia="es-ES"/>
        </w:rPr>
      </w:pPr>
    </w:p>
    <w:p w:rsidR="0012451C" w:rsidRDefault="0012451C" w:rsidP="00176A9D">
      <w:pPr>
        <w:pStyle w:val="Style3"/>
        <w:tabs>
          <w:tab w:val="left" w:pos="8080"/>
        </w:tabs>
        <w:kinsoku w:val="0"/>
        <w:autoSpaceDE/>
        <w:autoSpaceDN/>
        <w:adjustRightInd/>
        <w:spacing w:after="180"/>
        <w:ind w:left="360" w:right="14"/>
        <w:jc w:val="both"/>
        <w:rPr>
          <w:rStyle w:val="CharacterStyle4"/>
          <w:rFonts w:ascii="Verdana" w:hAnsi="Verdana" w:cs="Verdana"/>
          <w:spacing w:val="5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14"/>
          <w:szCs w:val="14"/>
          <w:lang w:val="es-ES" w:eastAsia="es-ES"/>
        </w:rPr>
        <w:t xml:space="preserve">1.- Acoger las recomendaciones de la Dirección de Asuntos Jurídicos e iniciar el Procedimiento </w:t>
      </w:r>
      <w:r>
        <w:rPr>
          <w:rStyle w:val="CharacterStyle4"/>
          <w:rFonts w:ascii="Verdana" w:hAnsi="Verdana" w:cs="Verdana"/>
          <w:spacing w:val="5"/>
          <w:sz w:val="14"/>
          <w:szCs w:val="14"/>
          <w:lang w:val="es-ES" w:eastAsia="es-ES"/>
        </w:rPr>
        <w:t>Administrativo de Caducidad de la Concesión Administrativa de Taxi de los siguientes concesionarios:</w:t>
      </w:r>
    </w:p>
    <w:p w:rsidR="00176A9D" w:rsidRDefault="00176A9D" w:rsidP="00176A9D">
      <w:pPr>
        <w:pStyle w:val="Style3"/>
        <w:tabs>
          <w:tab w:val="left" w:pos="8080"/>
        </w:tabs>
        <w:kinsoku w:val="0"/>
        <w:autoSpaceDE/>
        <w:autoSpaceDN/>
        <w:adjustRightInd/>
        <w:spacing w:after="180"/>
        <w:ind w:left="360" w:right="14"/>
        <w:jc w:val="both"/>
        <w:rPr>
          <w:rStyle w:val="CharacterStyle4"/>
          <w:rFonts w:ascii="Verdana" w:hAnsi="Verdana" w:cs="Verdana"/>
          <w:spacing w:val="5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sz w:val="14"/>
          <w:szCs w:val="14"/>
          <w:lang w:val="es-ES" w:eastAsia="es-ES"/>
        </w:rPr>
        <w:t>(…)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3009"/>
        <w:gridCol w:w="708"/>
        <w:gridCol w:w="1032"/>
        <w:gridCol w:w="1586"/>
        <w:gridCol w:w="1615"/>
      </w:tblGrid>
      <w:tr w:rsidR="0031201B" w:rsidTr="0031201B">
        <w:tc>
          <w:tcPr>
            <w:tcW w:w="3009" w:type="dxa"/>
          </w:tcPr>
          <w:p w:rsidR="0031201B" w:rsidRDefault="0031201B" w:rsidP="009C5A83">
            <w:pPr>
              <w:pStyle w:val="Style3"/>
              <w:tabs>
                <w:tab w:val="left" w:pos="8080"/>
              </w:tabs>
              <w:kinsoku w:val="0"/>
              <w:autoSpaceDE/>
              <w:autoSpaceDN/>
              <w:adjustRightInd/>
              <w:spacing w:after="180"/>
              <w:ind w:right="14"/>
              <w:jc w:val="both"/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</w:pPr>
            <w:r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  <w:t>N</w:t>
            </w:r>
            <w:r w:rsidR="009C5A83"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  <w:t>.O.C.M.</w:t>
            </w:r>
          </w:p>
        </w:tc>
        <w:tc>
          <w:tcPr>
            <w:tcW w:w="708" w:type="dxa"/>
          </w:tcPr>
          <w:p w:rsidR="0031201B" w:rsidRDefault="0031201B" w:rsidP="00176A9D">
            <w:pPr>
              <w:pStyle w:val="Style3"/>
              <w:tabs>
                <w:tab w:val="left" w:pos="8080"/>
              </w:tabs>
              <w:kinsoku w:val="0"/>
              <w:autoSpaceDE/>
              <w:autoSpaceDN/>
              <w:adjustRightInd/>
              <w:spacing w:after="180"/>
              <w:ind w:right="14"/>
              <w:jc w:val="both"/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</w:pPr>
            <w:r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  <w:t>…</w:t>
            </w:r>
          </w:p>
        </w:tc>
        <w:tc>
          <w:tcPr>
            <w:tcW w:w="1032" w:type="dxa"/>
          </w:tcPr>
          <w:p w:rsidR="0031201B" w:rsidRDefault="0031201B" w:rsidP="00176A9D">
            <w:pPr>
              <w:pStyle w:val="Style3"/>
              <w:tabs>
                <w:tab w:val="left" w:pos="8080"/>
              </w:tabs>
              <w:kinsoku w:val="0"/>
              <w:autoSpaceDE/>
              <w:autoSpaceDN/>
              <w:adjustRightInd/>
              <w:spacing w:after="180"/>
              <w:ind w:right="14"/>
              <w:jc w:val="both"/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</w:pPr>
            <w:r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  <w:t>TSJ</w:t>
            </w:r>
          </w:p>
        </w:tc>
        <w:tc>
          <w:tcPr>
            <w:tcW w:w="1586" w:type="dxa"/>
          </w:tcPr>
          <w:p w:rsidR="0031201B" w:rsidRDefault="0031201B" w:rsidP="00176A9D">
            <w:pPr>
              <w:pStyle w:val="Style3"/>
              <w:tabs>
                <w:tab w:val="left" w:pos="8080"/>
              </w:tabs>
              <w:kinsoku w:val="0"/>
              <w:autoSpaceDE/>
              <w:autoSpaceDN/>
              <w:adjustRightInd/>
              <w:spacing w:after="180"/>
              <w:ind w:right="14"/>
              <w:jc w:val="both"/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</w:pPr>
            <w:r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  <w:t>XXXX</w:t>
            </w:r>
          </w:p>
        </w:tc>
        <w:tc>
          <w:tcPr>
            <w:tcW w:w="1615" w:type="dxa"/>
          </w:tcPr>
          <w:p w:rsidR="0031201B" w:rsidRDefault="0031201B" w:rsidP="00176A9D">
            <w:pPr>
              <w:pStyle w:val="Style3"/>
              <w:tabs>
                <w:tab w:val="left" w:pos="8080"/>
              </w:tabs>
              <w:kinsoku w:val="0"/>
              <w:autoSpaceDE/>
              <w:autoSpaceDN/>
              <w:adjustRightInd/>
              <w:spacing w:after="180"/>
              <w:ind w:right="14"/>
              <w:jc w:val="both"/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</w:pPr>
            <w:r>
              <w:rPr>
                <w:rStyle w:val="CharacterStyle4"/>
                <w:rFonts w:ascii="Verdana" w:hAnsi="Verdana" w:cs="Verdana"/>
                <w:spacing w:val="5"/>
                <w:sz w:val="14"/>
                <w:szCs w:val="14"/>
                <w:lang w:val="es-ES" w:eastAsia="es-ES"/>
              </w:rPr>
              <w:t>08/05/2004</w:t>
            </w:r>
          </w:p>
        </w:tc>
      </w:tr>
    </w:tbl>
    <w:p w:rsidR="00176A9D" w:rsidRDefault="00176A9D" w:rsidP="00176A9D">
      <w:pPr>
        <w:pStyle w:val="Style3"/>
        <w:tabs>
          <w:tab w:val="left" w:pos="8080"/>
        </w:tabs>
        <w:kinsoku w:val="0"/>
        <w:autoSpaceDE/>
        <w:autoSpaceDN/>
        <w:adjustRightInd/>
        <w:spacing w:after="180"/>
        <w:ind w:left="360" w:right="14"/>
        <w:jc w:val="both"/>
        <w:rPr>
          <w:rStyle w:val="CharacterStyle4"/>
          <w:rFonts w:ascii="Verdana" w:hAnsi="Verdana" w:cs="Verdana"/>
          <w:spacing w:val="5"/>
          <w:sz w:val="14"/>
          <w:szCs w:val="14"/>
          <w:lang w:val="es-ES" w:eastAsia="es-ES"/>
        </w:rPr>
      </w:pPr>
    </w:p>
    <w:p w:rsidR="00176A9D" w:rsidRPr="00176A9D" w:rsidRDefault="00176A9D" w:rsidP="00176A9D">
      <w:pPr>
        <w:pStyle w:val="Style3"/>
        <w:tabs>
          <w:tab w:val="left" w:pos="8080"/>
        </w:tabs>
        <w:kinsoku w:val="0"/>
        <w:autoSpaceDE/>
        <w:autoSpaceDN/>
        <w:adjustRightInd/>
        <w:spacing w:after="180"/>
        <w:ind w:left="360" w:right="14"/>
        <w:jc w:val="both"/>
        <w:rPr>
          <w:rStyle w:val="CharacterStyle4"/>
          <w:spacing w:val="5"/>
          <w:sz w:val="14"/>
          <w:szCs w:val="14"/>
        </w:rPr>
      </w:pPr>
      <w:r w:rsidRPr="00176A9D">
        <w:rPr>
          <w:rStyle w:val="CharacterStyle4"/>
          <w:spacing w:val="5"/>
          <w:sz w:val="14"/>
          <w:szCs w:val="14"/>
        </w:rPr>
        <w:t>(…)</w:t>
      </w:r>
    </w:p>
    <w:p w:rsidR="0012451C" w:rsidRDefault="0012451C" w:rsidP="00176A9D">
      <w:pPr>
        <w:pStyle w:val="Style4"/>
        <w:tabs>
          <w:tab w:val="left" w:pos="8080"/>
        </w:tabs>
        <w:kinsoku w:val="0"/>
        <w:autoSpaceDE/>
        <w:autoSpaceDN/>
        <w:spacing w:before="432"/>
        <w:ind w:right="14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Como se puede verificar el acto ordena la apertura del procedimiento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administrativo de caducidad de concesión en perjuicio, entre otros de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la señora C</w:t>
      </w:r>
      <w:r w:rsidR="0031201B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.N.O.</w:t>
      </w:r>
    </w:p>
    <w:p w:rsidR="0012451C" w:rsidRDefault="0012451C" w:rsidP="00176A9D">
      <w:pPr>
        <w:pStyle w:val="Style4"/>
        <w:tabs>
          <w:tab w:val="left" w:pos="8080"/>
        </w:tabs>
        <w:kinsoku w:val="0"/>
        <w:autoSpaceDE/>
        <w:autoSpaceDN/>
        <w:spacing w:before="324"/>
        <w:ind w:right="14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De acuerdo con lo dicho, el Consejo de Transporte Público no está en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este caso elevando Recurso de Apelación alguno, sino comunicando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una corrección material, por lo que lo procedente es tomar nota de la corrección material realizada por la Junta Directiva del CTP mediante Acuerdo 7.3 de la Sesión Ordinaria 76-2013 y proceder al archivo del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presente expediente.</w:t>
      </w:r>
    </w:p>
    <w:p w:rsidR="0012451C" w:rsidRDefault="0012451C">
      <w:pPr>
        <w:pStyle w:val="Style3"/>
        <w:kinsoku w:val="0"/>
        <w:autoSpaceDE/>
        <w:autoSpaceDN/>
        <w:adjustRightInd/>
        <w:spacing w:before="648" w:line="192" w:lineRule="auto"/>
        <w:ind w:left="3600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12451C" w:rsidRDefault="0012451C" w:rsidP="00176A9D">
      <w:pPr>
        <w:pStyle w:val="Style4"/>
        <w:kinsoku w:val="0"/>
        <w:autoSpaceDE/>
        <w:autoSpaceDN/>
        <w:spacing w:after="252"/>
        <w:ind w:right="14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Proceder al archivo del presente expediente, por tratarse de la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comunicación que hace la Junta Directiva del Consejo de Transporte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Público de corrección de error material en que incurrió.</w:t>
      </w:r>
    </w:p>
    <w:p w:rsidR="00176A9D" w:rsidRDefault="00176A9D" w:rsidP="00176A9D">
      <w:pPr>
        <w:pStyle w:val="Style4"/>
        <w:kinsoku w:val="0"/>
        <w:autoSpaceDE/>
        <w:autoSpaceDN/>
        <w:spacing w:after="252"/>
        <w:ind w:right="14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</w:p>
    <w:p w:rsidR="00176A9D" w:rsidRPr="001C1D40" w:rsidRDefault="00176A9D" w:rsidP="00176A9D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176A9D" w:rsidRPr="001C1D40" w:rsidRDefault="00176A9D" w:rsidP="00176A9D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176A9D" w:rsidRPr="001C1D40" w:rsidRDefault="00176A9D" w:rsidP="00176A9D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176A9D" w:rsidRPr="001C1D40" w:rsidRDefault="00176A9D" w:rsidP="00176A9D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176A9D" w:rsidRPr="001C1D40" w:rsidRDefault="00176A9D" w:rsidP="00176A9D">
      <w:pPr>
        <w:pStyle w:val="Style4"/>
        <w:kinsoku w:val="0"/>
        <w:autoSpaceDE/>
        <w:ind w:left="284" w:right="14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Mario Quesada Aguirre</w:t>
      </w:r>
    </w:p>
    <w:p w:rsidR="00176A9D" w:rsidRPr="001C1D40" w:rsidRDefault="00176A9D" w:rsidP="00176A9D">
      <w:pPr>
        <w:pStyle w:val="Style4"/>
        <w:kinsoku w:val="0"/>
        <w:autoSpaceDE/>
        <w:ind w:left="284" w:right="14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  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     </w:t>
      </w: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</w:p>
    <w:p w:rsidR="00176A9D" w:rsidRPr="001C1D40" w:rsidRDefault="00176A9D" w:rsidP="00176A9D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12451C" w:rsidRDefault="0012451C">
      <w:pPr>
        <w:pStyle w:val="Style3"/>
        <w:tabs>
          <w:tab w:val="right" w:pos="8380"/>
        </w:tabs>
        <w:kinsoku w:val="0"/>
        <w:autoSpaceDE/>
        <w:autoSpaceDN/>
        <w:adjustRightInd/>
        <w:spacing w:line="192" w:lineRule="auto"/>
        <w:ind w:left="6264"/>
        <w:rPr>
          <w:rStyle w:val="CharacterStyle4"/>
          <w:rFonts w:ascii="Tahoma" w:hAnsi="Tahoma" w:cs="Tahoma"/>
          <w:w w:val="105"/>
          <w:lang w:val="es-ES" w:eastAsia="es-ES"/>
        </w:rPr>
      </w:pPr>
    </w:p>
    <w:sectPr w:rsidR="0012451C" w:rsidSect="00AB2C95">
      <w:pgSz w:w="12120" w:h="15840"/>
      <w:pgMar w:top="937" w:right="1840" w:bottom="288" w:left="21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E40F26"/>
    <w:rsid w:val="00043ACA"/>
    <w:rsid w:val="0012451C"/>
    <w:rsid w:val="00176A9D"/>
    <w:rsid w:val="0031201B"/>
    <w:rsid w:val="005E2749"/>
    <w:rsid w:val="009C5A83"/>
    <w:rsid w:val="00AB2C95"/>
    <w:rsid w:val="00E4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95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AB2C95"/>
    <w:pPr>
      <w:kinsoku/>
      <w:autoSpaceDE w:val="0"/>
      <w:autoSpaceDN w:val="0"/>
      <w:spacing w:before="288"/>
      <w:ind w:right="648"/>
      <w:jc w:val="both"/>
    </w:pPr>
    <w:rPr>
      <w:sz w:val="22"/>
      <w:szCs w:val="22"/>
    </w:rPr>
  </w:style>
  <w:style w:type="paragraph" w:customStyle="1" w:styleId="Style1">
    <w:name w:val="Style 1"/>
    <w:basedOn w:val="Normal"/>
    <w:uiPriority w:val="99"/>
    <w:rsid w:val="00AB2C9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AB2C9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AB2C95"/>
    <w:pPr>
      <w:kinsoku/>
      <w:autoSpaceDE w:val="0"/>
      <w:autoSpaceDN w:val="0"/>
      <w:spacing w:before="252"/>
      <w:ind w:left="360" w:right="792"/>
      <w:jc w:val="both"/>
    </w:pPr>
  </w:style>
  <w:style w:type="character" w:customStyle="1" w:styleId="CharacterStyle1">
    <w:name w:val="Character Style 1"/>
    <w:uiPriority w:val="99"/>
    <w:rsid w:val="00AB2C95"/>
    <w:rPr>
      <w:sz w:val="22"/>
      <w:szCs w:val="22"/>
    </w:rPr>
  </w:style>
  <w:style w:type="character" w:customStyle="1" w:styleId="CharacterStyle4">
    <w:name w:val="Character Style 4"/>
    <w:uiPriority w:val="99"/>
    <w:rsid w:val="00AB2C95"/>
    <w:rPr>
      <w:sz w:val="20"/>
      <w:szCs w:val="20"/>
    </w:rPr>
  </w:style>
  <w:style w:type="table" w:styleId="Tablaconcuadrcula">
    <w:name w:val="Table Grid"/>
    <w:basedOn w:val="Tablanormal"/>
    <w:uiPriority w:val="59"/>
    <w:rsid w:val="00312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2015-07-06T15:05:00Z</dcterms:created>
  <dcterms:modified xsi:type="dcterms:W3CDTF">2015-07-06T15:05:00Z</dcterms:modified>
</cp:coreProperties>
</file>